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6B81D" w14:textId="77777777" w:rsidR="008C79A7" w:rsidRDefault="008C79A7" w:rsidP="008C79A7">
      <w:pPr>
        <w:spacing w:line="259" w:lineRule="auto"/>
        <w:rPr>
          <w:b/>
          <w:bCs/>
        </w:rPr>
      </w:pPr>
      <w:r>
        <w:rPr>
          <w:b/>
          <w:bCs/>
        </w:rPr>
        <w:t>Supplementary information</w:t>
      </w:r>
      <w:r w:rsidRPr="006C07A5">
        <w:t xml:space="preserve"> </w:t>
      </w:r>
    </w:p>
    <w:p w14:paraId="35A20342" w14:textId="12A13BA2" w:rsidR="008C79A7" w:rsidRDefault="008C79A7" w:rsidP="008C79A7">
      <w:pPr>
        <w:spacing w:line="259" w:lineRule="auto"/>
        <w:rPr>
          <w:b/>
          <w:bCs/>
        </w:rPr>
      </w:pPr>
      <w:r>
        <w:rPr>
          <w:b/>
          <w:bCs/>
        </w:rPr>
        <w:t xml:space="preserve">Table S1: </w:t>
      </w:r>
      <w:r w:rsidRPr="0003369A">
        <w:t>Full list of genes</w:t>
      </w:r>
      <w:r>
        <w:rPr>
          <w:b/>
          <w:bCs/>
        </w:rPr>
        <w:t xml:space="preserve"> </w:t>
      </w:r>
      <w:r>
        <w:t xml:space="preserve">annotated in the </w:t>
      </w:r>
      <w:proofErr w:type="spellStart"/>
      <w:r>
        <w:t>Matrisome</w:t>
      </w:r>
      <w:proofErr w:type="spellEnd"/>
      <w:r>
        <w:t xml:space="preserve"> database as secreted factors,</w:t>
      </w:r>
      <w:r w:rsidRPr="00A164AD">
        <w:t xml:space="preserve"> </w:t>
      </w:r>
      <w:r>
        <w:t xml:space="preserve">collagen, ECM-affiliated proteins, </w:t>
      </w:r>
      <w:r w:rsidRPr="007206F0">
        <w:t xml:space="preserve">extracellular matrix (ECM) regulators and </w:t>
      </w:r>
      <w:r>
        <w:t xml:space="preserve">ECM </w:t>
      </w:r>
      <w:r w:rsidRPr="007206F0">
        <w:t xml:space="preserve">glycoproteins </w:t>
      </w:r>
      <w:r>
        <w:t>that are upregulated in TGF-β-</w:t>
      </w:r>
      <w:r w:rsidR="00E16A62">
        <w:t>polarized</w:t>
      </w:r>
      <w:r>
        <w:t xml:space="preserve"> macrophages compared with both IL-4-</w:t>
      </w:r>
      <w:r w:rsidR="00E16A62">
        <w:t>polarized</w:t>
      </w:r>
      <w:r>
        <w:t xml:space="preserve"> macrophages and naïve (PMA treated THP-1) macrophages. </w:t>
      </w:r>
      <w:r w:rsidRPr="00964C20">
        <w:t xml:space="preserve">(n=3) DEGs: abs(log2FC) ≥ 1 and </w:t>
      </w:r>
      <w:r w:rsidRPr="00964C20">
        <w:rPr>
          <w:i/>
          <w:iCs/>
        </w:rPr>
        <w:t>p</w:t>
      </w:r>
      <w:r w:rsidRPr="00964C20">
        <w:t xml:space="preserve"> adjust ≤ 0.05.</w:t>
      </w:r>
    </w:p>
    <w:p w14:paraId="2363C2D6" w14:textId="77777777" w:rsidR="008C79A7" w:rsidRDefault="008C79A7" w:rsidP="008C79A7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453646A3" w14:textId="77777777" w:rsidR="008C79A7" w:rsidRPr="0003369A" w:rsidRDefault="008C79A7" w:rsidP="008C79A7">
      <w:pPr>
        <w:rPr>
          <w:b/>
          <w:bCs/>
        </w:rPr>
      </w:pPr>
      <w:r w:rsidRPr="0003369A">
        <w:rPr>
          <w:b/>
          <w:bCs/>
        </w:rPr>
        <w:lastRenderedPageBreak/>
        <w:t>Supplementary figure legends</w:t>
      </w:r>
    </w:p>
    <w:p w14:paraId="4E40AC36" w14:textId="77777777" w:rsidR="008C79A7" w:rsidRDefault="008C79A7" w:rsidP="008C79A7"/>
    <w:p w14:paraId="221B7B05" w14:textId="4E796189" w:rsidR="008C79A7" w:rsidRDefault="008C79A7" w:rsidP="008C79A7">
      <w:r w:rsidRPr="003A7D21">
        <w:rPr>
          <w:b/>
          <w:bCs/>
        </w:rPr>
        <w:t>Figure S</w:t>
      </w:r>
      <w:r>
        <w:rPr>
          <w:b/>
          <w:bCs/>
        </w:rPr>
        <w:t>1</w:t>
      </w:r>
      <w:r w:rsidRPr="003A7D21">
        <w:rPr>
          <w:b/>
          <w:bCs/>
        </w:rPr>
        <w:t>.</w:t>
      </w:r>
      <w:r>
        <w:t xml:space="preserve"> Top 5 Enriched GO biological pathways (A) and Top 10 enriched KEGG pathways (B) reveal extensive difference between TGF-β- and IL-4-</w:t>
      </w:r>
      <w:r w:rsidR="00E16A62">
        <w:t>polarized</w:t>
      </w:r>
      <w:r>
        <w:t xml:space="preserve"> macrophages. The analyses highlight distinct transcriptional programs associated with each macrophage subtype, reflecting their divergent functional phenotypes. </w:t>
      </w:r>
      <w:r w:rsidRPr="00964C20">
        <w:t xml:space="preserve">(n=3) DEGs: abs(log2FC) ≥ 1 and </w:t>
      </w:r>
      <w:r w:rsidRPr="00964C20">
        <w:rPr>
          <w:i/>
          <w:iCs/>
        </w:rPr>
        <w:t>p</w:t>
      </w:r>
      <w:r w:rsidRPr="00964C20">
        <w:t xml:space="preserve"> adjust ≤ 0.05.</w:t>
      </w:r>
    </w:p>
    <w:p w14:paraId="134B3BC5" w14:textId="77777777" w:rsidR="008C79A7" w:rsidRDefault="008C79A7" w:rsidP="008C79A7"/>
    <w:p w14:paraId="4840BCF2" w14:textId="22115528" w:rsidR="008C79A7" w:rsidRDefault="008C79A7" w:rsidP="008C79A7">
      <w:r w:rsidRPr="00ED6D27">
        <w:rPr>
          <w:b/>
          <w:bCs/>
        </w:rPr>
        <w:t xml:space="preserve">Figure </w:t>
      </w:r>
      <w:r w:rsidRPr="00556783">
        <w:rPr>
          <w:b/>
          <w:bCs/>
        </w:rPr>
        <w:t>S</w:t>
      </w:r>
      <w:r>
        <w:rPr>
          <w:b/>
          <w:bCs/>
        </w:rPr>
        <w:t>2</w:t>
      </w:r>
      <w:r w:rsidRPr="00556783">
        <w:rPr>
          <w:b/>
          <w:bCs/>
        </w:rPr>
        <w:t>.</w:t>
      </w:r>
      <w:r w:rsidRPr="00146033">
        <w:rPr>
          <w:b/>
          <w:bCs/>
        </w:rPr>
        <w:t xml:space="preserve"> Molecular weight of potential profibrotic proteins secreted by TGF</w:t>
      </w:r>
      <w:r>
        <w:rPr>
          <w:b/>
          <w:bCs/>
        </w:rPr>
        <w:t>-</w:t>
      </w:r>
      <w:r w:rsidRPr="00146033">
        <w:rPr>
          <w:b/>
          <w:bCs/>
        </w:rPr>
        <w:t xml:space="preserve">β, but not IL-4, </w:t>
      </w:r>
      <w:r w:rsidR="00E16A62">
        <w:rPr>
          <w:b/>
          <w:bCs/>
        </w:rPr>
        <w:t>polarized</w:t>
      </w:r>
      <w:r w:rsidRPr="00146033">
        <w:rPr>
          <w:b/>
          <w:bCs/>
        </w:rPr>
        <w:t xml:space="preserve"> macrophages </w:t>
      </w:r>
      <w:r>
        <w:rPr>
          <w:b/>
          <w:bCs/>
        </w:rPr>
        <w:t>are</w:t>
      </w:r>
      <w:r w:rsidRPr="00146033">
        <w:rPr>
          <w:b/>
          <w:bCs/>
        </w:rPr>
        <w:t xml:space="preserve"> larger than 10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k</w:t>
      </w:r>
      <w:r w:rsidRPr="00146033">
        <w:rPr>
          <w:b/>
          <w:bCs/>
        </w:rPr>
        <w:t>D</w:t>
      </w:r>
      <w:proofErr w:type="spellEnd"/>
      <w:r w:rsidRPr="00146033">
        <w:rPr>
          <w:b/>
          <w:bCs/>
        </w:rPr>
        <w:t>.</w:t>
      </w:r>
      <w:r>
        <w:t xml:space="preserve"> (A) Representative images of immunofluorescence staining for αSMA, col1 and FN in NHLFs 48h after stimulation with different conditioned medium (CM) fractions containing proteins smaller or larger than 10 </w:t>
      </w:r>
      <w:proofErr w:type="spellStart"/>
      <w:r>
        <w:t>kD</w:t>
      </w:r>
      <w:proofErr w:type="spellEnd"/>
      <w:r>
        <w:t xml:space="preserve">. (B) Quantification of αSMA, col1 and FN expression in NHLFs stimulated with separated conditioned medium (CM) fractions containing proteins smaller or larger than 10 </w:t>
      </w:r>
      <w:proofErr w:type="spellStart"/>
      <w:r>
        <w:t>kD</w:t>
      </w:r>
      <w:proofErr w:type="spellEnd"/>
      <w:r>
        <w:t xml:space="preserve">. </w:t>
      </w:r>
      <w:r w:rsidR="00CC3755">
        <w:t xml:space="preserve">Data is expressed as mean ± standard error of the mean (SEM). </w:t>
      </w:r>
      <w:r>
        <w:t xml:space="preserve">Quantification of the fluorescent signal is corrected for confluence. Direct TGF-β stimulation of NHLFs, which served as positive control, is shown relative to unstimulated fibroblasts. M(IL-4) CM, M(TGF-β) CM, M(TGF-β) CM &lt;10 </w:t>
      </w:r>
      <w:proofErr w:type="spellStart"/>
      <w:r>
        <w:t>kD</w:t>
      </w:r>
      <w:proofErr w:type="spellEnd"/>
      <w:r>
        <w:t xml:space="preserve"> and M(TGF-β) CM &gt;10 </w:t>
      </w:r>
      <w:proofErr w:type="spellStart"/>
      <w:r>
        <w:t>kD</w:t>
      </w:r>
      <w:proofErr w:type="spellEnd"/>
      <w:r>
        <w:t xml:space="preserve"> stimulations are shown relative to naïve CM stimulation. n=3 for all conditions. S</w:t>
      </w:r>
      <w:r w:rsidRPr="002A6FE4">
        <w:t xml:space="preserve">tatistical significance </w:t>
      </w:r>
      <w:r>
        <w:t>was tested using</w:t>
      </w:r>
      <w:r w:rsidRPr="002A6FE4">
        <w:t xml:space="preserve"> one-way</w:t>
      </w:r>
      <w:r>
        <w:t xml:space="preserve"> ANOVA. </w:t>
      </w:r>
      <w:r w:rsidRPr="002A6FE4">
        <w:t>p-values</w:t>
      </w:r>
      <w:r>
        <w:t>:</w:t>
      </w:r>
      <w:r w:rsidRPr="002A6FE4">
        <w:t xml:space="preserve"> ** &lt;0.01, *** &lt;0.001 and **** &lt;0.0001.</w:t>
      </w:r>
    </w:p>
    <w:p w14:paraId="769D7B95" w14:textId="77777777" w:rsidR="008C79A7" w:rsidRDefault="008C79A7" w:rsidP="008C79A7"/>
    <w:p w14:paraId="129B0402" w14:textId="0DFC99E8" w:rsidR="008C79A7" w:rsidRDefault="008C79A7" w:rsidP="008C79A7">
      <w:r w:rsidRPr="00C9079F">
        <w:rPr>
          <w:b/>
          <w:bCs/>
        </w:rPr>
        <w:t xml:space="preserve">Figure </w:t>
      </w:r>
      <w:r>
        <w:rPr>
          <w:b/>
          <w:bCs/>
        </w:rPr>
        <w:t>S3</w:t>
      </w:r>
      <w:r w:rsidRPr="00146033">
        <w:rPr>
          <w:b/>
          <w:bCs/>
        </w:rPr>
        <w:t>. Molecular weight of potential profibrotic proteins secreted by TGF</w:t>
      </w:r>
      <w:r>
        <w:rPr>
          <w:b/>
          <w:bCs/>
        </w:rPr>
        <w:t>-</w:t>
      </w:r>
      <w:r w:rsidRPr="00146033">
        <w:rPr>
          <w:b/>
          <w:bCs/>
        </w:rPr>
        <w:t xml:space="preserve">β, but not IL-4, </w:t>
      </w:r>
      <w:r w:rsidR="00E16A62">
        <w:rPr>
          <w:b/>
          <w:bCs/>
        </w:rPr>
        <w:t>polarized</w:t>
      </w:r>
      <w:r w:rsidRPr="00146033">
        <w:rPr>
          <w:b/>
          <w:bCs/>
        </w:rPr>
        <w:t xml:space="preserve"> macrophages </w:t>
      </w:r>
      <w:r>
        <w:rPr>
          <w:b/>
          <w:bCs/>
        </w:rPr>
        <w:t>are</w:t>
      </w:r>
      <w:r w:rsidRPr="00146033">
        <w:rPr>
          <w:b/>
          <w:bCs/>
        </w:rPr>
        <w:t xml:space="preserve"> larger than </w:t>
      </w:r>
      <w:r>
        <w:rPr>
          <w:b/>
          <w:bCs/>
        </w:rPr>
        <w:t xml:space="preserve">50 </w:t>
      </w:r>
      <w:proofErr w:type="spellStart"/>
      <w:r>
        <w:rPr>
          <w:b/>
          <w:bCs/>
        </w:rPr>
        <w:t>k</w:t>
      </w:r>
      <w:r w:rsidRPr="00146033">
        <w:rPr>
          <w:b/>
          <w:bCs/>
        </w:rPr>
        <w:t>D</w:t>
      </w:r>
      <w:proofErr w:type="spellEnd"/>
      <w:r w:rsidRPr="00146033">
        <w:rPr>
          <w:b/>
          <w:bCs/>
        </w:rPr>
        <w:t>.</w:t>
      </w:r>
      <w:r>
        <w:t xml:space="preserve"> (A) Representative images of immunofluorescence staining for αSMA, col1 and FN in NHLFs 48h after stimulation with different conditioned medium (CM) fractions containing proteins smaller or larger than 50 </w:t>
      </w:r>
      <w:proofErr w:type="spellStart"/>
      <w:r>
        <w:t>kD</w:t>
      </w:r>
      <w:proofErr w:type="spellEnd"/>
      <w:r>
        <w:t xml:space="preserve">. (B) Quantification of αSMA, col1 and FN expression in NHLFs stimulated with separated conditioned medium (CM) fractions containing proteins smaller or larger than 50 </w:t>
      </w:r>
      <w:proofErr w:type="spellStart"/>
      <w:r>
        <w:t>kD</w:t>
      </w:r>
      <w:proofErr w:type="spellEnd"/>
      <w:r>
        <w:t xml:space="preserve">. </w:t>
      </w:r>
      <w:r w:rsidR="00CC3755">
        <w:t xml:space="preserve">Data is expressed as mean ± standard error of the mean (SEM). </w:t>
      </w:r>
      <w:r>
        <w:t xml:space="preserve">Quantification of the fluorescent signal is corrected for confluence. </w:t>
      </w:r>
      <w:proofErr w:type="spellStart"/>
      <w:r>
        <w:t>Dierct</w:t>
      </w:r>
      <w:proofErr w:type="spellEnd"/>
      <w:r>
        <w:t xml:space="preserve"> TGF-β stimulation of NHLFs, which served as positive control, is shown relative to unstimulated fibroblasts. M(IL-4) CM, M(TGF-β) CM, M(TGF-β) CM &lt;50 </w:t>
      </w:r>
      <w:proofErr w:type="spellStart"/>
      <w:r>
        <w:t>kD</w:t>
      </w:r>
      <w:proofErr w:type="spellEnd"/>
      <w:r>
        <w:t xml:space="preserve"> and M(TGF-β) CM &gt;50 </w:t>
      </w:r>
      <w:proofErr w:type="spellStart"/>
      <w:r>
        <w:t>kD</w:t>
      </w:r>
      <w:proofErr w:type="spellEnd"/>
      <w:r>
        <w:t xml:space="preserve"> stimulations are shown relative to naïve CM stimulations. n=3 for all conditions. S</w:t>
      </w:r>
      <w:r w:rsidRPr="002A6FE4">
        <w:t>tatistical significance w</w:t>
      </w:r>
      <w:r>
        <w:t>as tested using</w:t>
      </w:r>
      <w:r w:rsidRPr="002A6FE4">
        <w:t xml:space="preserve"> one-way</w:t>
      </w:r>
      <w:r>
        <w:t xml:space="preserve"> ANOVA. </w:t>
      </w:r>
      <w:r w:rsidRPr="002A6FE4">
        <w:t>p-values</w:t>
      </w:r>
      <w:r>
        <w:t>:</w:t>
      </w:r>
      <w:r w:rsidRPr="002A6FE4">
        <w:t xml:space="preserve"> * &lt;0.05, ** &lt;0.01, *** &lt;0.001 and **** &lt;0.0001.</w:t>
      </w:r>
    </w:p>
    <w:p w14:paraId="29C11786" w14:textId="77777777" w:rsidR="00505539" w:rsidRPr="00E1684F" w:rsidRDefault="00505539" w:rsidP="00E1684F"/>
    <w:sectPr w:rsidR="00505539" w:rsidRPr="00E1684F" w:rsidSect="00745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D76"/>
    <w:multiLevelType w:val="hybridMultilevel"/>
    <w:tmpl w:val="25628CA0"/>
    <w:lvl w:ilvl="0" w:tplc="5C7C7880">
      <w:start w:val="1"/>
      <w:numFmt w:val="decimal"/>
      <w:pStyle w:val="List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61423"/>
    <w:multiLevelType w:val="multilevel"/>
    <w:tmpl w:val="92BCE30E"/>
    <w:lvl w:ilvl="0">
      <w:start w:val="1"/>
      <w:numFmt w:val="decimal"/>
      <w:pStyle w:val="Kop1-genummerd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Kop2-genummerd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Restart w:val="0"/>
      <w:pStyle w:val="Kop3-genummerd"/>
      <w:lvlText w:val="%1.%2.%3.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7120A29"/>
    <w:multiLevelType w:val="multilevel"/>
    <w:tmpl w:val="D7A6A850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Restart w:val="0"/>
      <w:pStyle w:val="ListBullet3"/>
      <w:lvlText w:val="-"/>
      <w:lvlJc w:val="left"/>
      <w:pPr>
        <w:ind w:left="1077" w:hanging="357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8107910"/>
    <w:multiLevelType w:val="multilevel"/>
    <w:tmpl w:val="AF2472BA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Restart w:val="0"/>
      <w:pStyle w:val="ListNumber3"/>
      <w:lvlText w:val="%3.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F941658"/>
    <w:multiLevelType w:val="hybridMultilevel"/>
    <w:tmpl w:val="25C098E8"/>
    <w:lvl w:ilvl="0" w:tplc="D98ED52E">
      <w:start w:val="1"/>
      <w:numFmt w:val="upperRoman"/>
      <w:pStyle w:val="Bijlage"/>
      <w:lvlText w:val="Bijlage %1."/>
      <w:lvlJc w:val="left"/>
      <w:pPr>
        <w:ind w:left="7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105191">
    <w:abstractNumId w:val="0"/>
  </w:num>
  <w:num w:numId="2" w16cid:durableId="1026445243">
    <w:abstractNumId w:val="2"/>
  </w:num>
  <w:num w:numId="3" w16cid:durableId="593171272">
    <w:abstractNumId w:val="3"/>
  </w:num>
  <w:num w:numId="4" w16cid:durableId="1008337569">
    <w:abstractNumId w:val="1"/>
  </w:num>
  <w:num w:numId="5" w16cid:durableId="1200053308">
    <w:abstractNumId w:val="4"/>
  </w:num>
  <w:num w:numId="6" w16cid:durableId="2086148160">
    <w:abstractNumId w:val="1"/>
  </w:num>
  <w:num w:numId="7" w16cid:durableId="108204942">
    <w:abstractNumId w:val="0"/>
  </w:num>
  <w:num w:numId="8" w16cid:durableId="1159425561">
    <w:abstractNumId w:val="2"/>
  </w:num>
  <w:num w:numId="9" w16cid:durableId="517307843">
    <w:abstractNumId w:val="3"/>
  </w:num>
  <w:num w:numId="10" w16cid:durableId="1375159396">
    <w:abstractNumId w:val="2"/>
  </w:num>
  <w:num w:numId="11" w16cid:durableId="1855998875">
    <w:abstractNumId w:val="2"/>
  </w:num>
  <w:num w:numId="12" w16cid:durableId="888762083">
    <w:abstractNumId w:val="3"/>
  </w:num>
  <w:num w:numId="13" w16cid:durableId="1421874605">
    <w:abstractNumId w:val="3"/>
  </w:num>
  <w:num w:numId="14" w16cid:durableId="2034304253">
    <w:abstractNumId w:val="1"/>
  </w:num>
  <w:num w:numId="15" w16cid:durableId="244612863">
    <w:abstractNumId w:val="1"/>
  </w:num>
  <w:num w:numId="16" w16cid:durableId="1683697826">
    <w:abstractNumId w:val="1"/>
  </w:num>
  <w:num w:numId="17" w16cid:durableId="1427270423">
    <w:abstractNumId w:val="4"/>
  </w:num>
  <w:num w:numId="18" w16cid:durableId="1286042416">
    <w:abstractNumId w:val="0"/>
  </w:num>
  <w:num w:numId="19" w16cid:durableId="322970271">
    <w:abstractNumId w:val="2"/>
  </w:num>
  <w:num w:numId="20" w16cid:durableId="616446539">
    <w:abstractNumId w:val="3"/>
  </w:num>
  <w:num w:numId="21" w16cid:durableId="1937398501">
    <w:abstractNumId w:val="2"/>
  </w:num>
  <w:num w:numId="22" w16cid:durableId="1575697738">
    <w:abstractNumId w:val="2"/>
  </w:num>
  <w:num w:numId="23" w16cid:durableId="1820882858">
    <w:abstractNumId w:val="3"/>
  </w:num>
  <w:num w:numId="24" w16cid:durableId="517737764">
    <w:abstractNumId w:val="3"/>
  </w:num>
  <w:num w:numId="25" w16cid:durableId="1748528906">
    <w:abstractNumId w:val="1"/>
  </w:num>
  <w:num w:numId="26" w16cid:durableId="1343433185">
    <w:abstractNumId w:val="1"/>
  </w:num>
  <w:num w:numId="27" w16cid:durableId="1574968135">
    <w:abstractNumId w:val="1"/>
  </w:num>
  <w:num w:numId="28" w16cid:durableId="714815390">
    <w:abstractNumId w:val="4"/>
  </w:num>
  <w:num w:numId="29" w16cid:durableId="946811711">
    <w:abstractNumId w:val="1"/>
  </w:num>
  <w:num w:numId="30" w16cid:durableId="996882843">
    <w:abstractNumId w:val="1"/>
  </w:num>
  <w:num w:numId="31" w16cid:durableId="1606185036">
    <w:abstractNumId w:val="4"/>
  </w:num>
  <w:num w:numId="32" w16cid:durableId="1115752548">
    <w:abstractNumId w:val="1"/>
  </w:num>
  <w:num w:numId="33" w16cid:durableId="108551630">
    <w:abstractNumId w:val="1"/>
  </w:num>
  <w:num w:numId="34" w16cid:durableId="140910734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344930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33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9660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05621149">
    <w:abstractNumId w:val="1"/>
    <w:lvlOverride w:ilvl="0">
      <w:lvl w:ilvl="0">
        <w:start w:val="1"/>
        <w:numFmt w:val="decimal"/>
        <w:pStyle w:val="Kop1-genummerd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pStyle w:val="Kop2-genummerd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Restart w:val="0"/>
        <w:pStyle w:val="Kop3-genummerd"/>
        <w:lvlText w:val="%1.%2.%3."/>
        <w:lvlJc w:val="left"/>
        <w:pPr>
          <w:ind w:left="1077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C7"/>
    <w:rsid w:val="001A71D9"/>
    <w:rsid w:val="00225B02"/>
    <w:rsid w:val="00476272"/>
    <w:rsid w:val="004E10E2"/>
    <w:rsid w:val="00505539"/>
    <w:rsid w:val="00506189"/>
    <w:rsid w:val="005147C8"/>
    <w:rsid w:val="005B2AF3"/>
    <w:rsid w:val="005C3BCE"/>
    <w:rsid w:val="005E4B36"/>
    <w:rsid w:val="006E1286"/>
    <w:rsid w:val="00745F5B"/>
    <w:rsid w:val="007D0955"/>
    <w:rsid w:val="00821D64"/>
    <w:rsid w:val="00840A00"/>
    <w:rsid w:val="008C79A7"/>
    <w:rsid w:val="00915C38"/>
    <w:rsid w:val="00944185"/>
    <w:rsid w:val="009B60D0"/>
    <w:rsid w:val="00AD3036"/>
    <w:rsid w:val="00AD572D"/>
    <w:rsid w:val="00AF53C7"/>
    <w:rsid w:val="00B42813"/>
    <w:rsid w:val="00BB0BD6"/>
    <w:rsid w:val="00CC3755"/>
    <w:rsid w:val="00CF0BFA"/>
    <w:rsid w:val="00D66FC4"/>
    <w:rsid w:val="00DC6CA3"/>
    <w:rsid w:val="00DF6498"/>
    <w:rsid w:val="00E1684F"/>
    <w:rsid w:val="00E16A62"/>
    <w:rsid w:val="00E366D2"/>
    <w:rsid w:val="00E55BEF"/>
    <w:rsid w:val="00F83C48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7B39F"/>
  <w15:chartTrackingRefBased/>
  <w15:docId w15:val="{D01D7F2B-09D3-4DCA-8305-CE0D54A3F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3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/>
    <w:lsdException w:name="List Bullet 4" w:semiHidden="1" w:uiPriority="3" w:unhideWhenUsed="1"/>
    <w:lsdException w:name="List Bullet 5" w:semiHidden="1" w:uiPriority="3" w:unhideWhenUsed="1"/>
    <w:lsdException w:name="List Number 2" w:semiHidden="1" w:uiPriority="4" w:unhideWhenUsed="1"/>
    <w:lsdException w:name="List Number 3" w:semiHidden="1" w:uiPriority="4" w:unhideWhenUsed="1"/>
    <w:lsdException w:name="List Number 4" w:semiHidden="1" w:uiPriority="4" w:unhideWhenUsed="1"/>
    <w:lsdException w:name="List Number 5" w:semiHidden="1" w:uiPriority="4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9A7"/>
    <w:pPr>
      <w:spacing w:line="288" w:lineRule="auto"/>
    </w:pPr>
    <w:rPr>
      <w:rFonts w:ascii="Trebuchet MS" w:eastAsia="MS Mincho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DF6498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1"/>
    <w:qFormat/>
    <w:rsid w:val="00E55BEF"/>
    <w:pPr>
      <w:keepNext/>
      <w:spacing w:before="180" w:after="60"/>
      <w:outlineLvl w:val="1"/>
    </w:pPr>
    <w:rPr>
      <w:rFonts w:eastAsia="Times New Roman"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1"/>
    <w:unhideWhenUsed/>
    <w:qFormat/>
    <w:rsid w:val="00DF6498"/>
    <w:pPr>
      <w:keepNext/>
      <w:spacing w:before="120" w:after="60"/>
      <w:contextualSpacing/>
      <w:outlineLvl w:val="2"/>
    </w:pPr>
    <w:rPr>
      <w:rFonts w:eastAsia="Times New Roman"/>
      <w:b/>
      <w:bCs/>
      <w:smallCaps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1"/>
    <w:unhideWhenUsed/>
    <w:rsid w:val="005B2AF3"/>
    <w:pPr>
      <w:keepNext/>
      <w:spacing w:before="60"/>
      <w:outlineLvl w:val="3"/>
    </w:pPr>
    <w:rPr>
      <w:rFonts w:eastAsiaTheme="minorEastAsia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1"/>
    <w:semiHidden/>
    <w:unhideWhenUsed/>
    <w:rsid w:val="00AF53C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AF53C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AF53C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AF53C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AF53C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1"/>
    <w:rsid w:val="00E55BEF"/>
    <w:rPr>
      <w:rFonts w:ascii="Trebuchet MS" w:eastAsia="Times New Roman" w:hAnsi="Trebuchet MS"/>
      <w:bCs/>
      <w:iCs/>
      <w:sz w:val="24"/>
      <w:szCs w:val="28"/>
    </w:rPr>
  </w:style>
  <w:style w:type="character" w:customStyle="1" w:styleId="Heading3Char">
    <w:name w:val="Heading 3 Char"/>
    <w:link w:val="Heading3"/>
    <w:uiPriority w:val="1"/>
    <w:rsid w:val="00DF6498"/>
    <w:rPr>
      <w:rFonts w:ascii="Trebuchet MS" w:eastAsia="Times New Roman" w:hAnsi="Trebuchet MS"/>
      <w:b/>
      <w:bCs/>
      <w:smallCaps/>
      <w:sz w:val="22"/>
      <w:szCs w:val="26"/>
    </w:rPr>
  </w:style>
  <w:style w:type="character" w:customStyle="1" w:styleId="Heading1Char">
    <w:name w:val="Heading 1 Char"/>
    <w:link w:val="Heading1"/>
    <w:uiPriority w:val="1"/>
    <w:rsid w:val="00DF6498"/>
    <w:rPr>
      <w:rFonts w:ascii="Trebuchet MS" w:eastAsiaTheme="majorEastAsia" w:hAnsi="Trebuchet MS" w:cstheme="majorBidi"/>
      <w:b/>
      <w:bCs/>
      <w:kern w:val="32"/>
      <w:sz w:val="28"/>
      <w:szCs w:val="32"/>
    </w:rPr>
  </w:style>
  <w:style w:type="paragraph" w:styleId="Title">
    <w:name w:val="Title"/>
    <w:basedOn w:val="Normal"/>
    <w:next w:val="Normal"/>
    <w:link w:val="TitleChar"/>
    <w:autoRedefine/>
    <w:qFormat/>
    <w:rsid w:val="00DF6498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F6498"/>
    <w:rPr>
      <w:rFonts w:ascii="Trebuchet MS" w:eastAsiaTheme="majorEastAsia" w:hAnsi="Trebuchet MS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DF649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DF6498"/>
    <w:rPr>
      <w:rFonts w:ascii="Trebuchet MS" w:eastAsia="Times New Roman" w:hAnsi="Trebuchet MS"/>
      <w:sz w:val="24"/>
      <w:szCs w:val="24"/>
    </w:rPr>
  </w:style>
  <w:style w:type="paragraph" w:styleId="ListParagraph">
    <w:name w:val="List Paragraph"/>
    <w:basedOn w:val="Normal"/>
    <w:uiPriority w:val="34"/>
    <w:rsid w:val="005B2AF3"/>
    <w:pPr>
      <w:ind w:left="708"/>
    </w:pPr>
    <w:rPr>
      <w:rFonts w:eastAsiaTheme="minorHAnsi"/>
    </w:rPr>
  </w:style>
  <w:style w:type="character" w:customStyle="1" w:styleId="Heading4Char">
    <w:name w:val="Heading 4 Char"/>
    <w:link w:val="Heading4"/>
    <w:uiPriority w:val="1"/>
    <w:rsid w:val="005B2AF3"/>
    <w:rPr>
      <w:rFonts w:eastAsiaTheme="minorEastAsia" w:cstheme="minorBidi"/>
      <w:b/>
      <w:bCs/>
      <w:sz w:val="22"/>
      <w:szCs w:val="28"/>
    </w:rPr>
  </w:style>
  <w:style w:type="paragraph" w:styleId="ListNumber">
    <w:name w:val="List Number"/>
    <w:basedOn w:val="Normal"/>
    <w:autoRedefine/>
    <w:uiPriority w:val="4"/>
    <w:qFormat/>
    <w:rsid w:val="005B2AF3"/>
    <w:pPr>
      <w:numPr>
        <w:numId w:val="24"/>
      </w:numPr>
      <w:spacing w:before="20" w:after="20"/>
    </w:pPr>
    <w:rPr>
      <w:rFonts w:eastAsiaTheme="minorHAnsi"/>
      <w:lang w:eastAsia="nl-NL"/>
    </w:rPr>
  </w:style>
  <w:style w:type="paragraph" w:styleId="ListBullet">
    <w:name w:val="List Bullet"/>
    <w:basedOn w:val="Normal"/>
    <w:autoRedefine/>
    <w:uiPriority w:val="3"/>
    <w:qFormat/>
    <w:rsid w:val="005B2AF3"/>
    <w:pPr>
      <w:numPr>
        <w:numId w:val="22"/>
      </w:numPr>
      <w:spacing w:before="20" w:after="20"/>
    </w:pPr>
    <w:rPr>
      <w:rFonts w:eastAsiaTheme="minorHAnsi"/>
    </w:rPr>
  </w:style>
  <w:style w:type="paragraph" w:styleId="ListBullet2">
    <w:name w:val="List Bullet 2"/>
    <w:basedOn w:val="Normal"/>
    <w:autoRedefine/>
    <w:uiPriority w:val="3"/>
    <w:unhideWhenUsed/>
    <w:rsid w:val="005B2AF3"/>
    <w:pPr>
      <w:numPr>
        <w:ilvl w:val="1"/>
        <w:numId w:val="22"/>
      </w:numPr>
      <w:spacing w:before="20" w:after="20"/>
    </w:pPr>
    <w:rPr>
      <w:rFonts w:eastAsiaTheme="minorHAnsi"/>
    </w:rPr>
  </w:style>
  <w:style w:type="paragraph" w:styleId="ListBullet3">
    <w:name w:val="List Bullet 3"/>
    <w:basedOn w:val="Normal"/>
    <w:autoRedefine/>
    <w:uiPriority w:val="3"/>
    <w:unhideWhenUsed/>
    <w:rsid w:val="005B2AF3"/>
    <w:pPr>
      <w:numPr>
        <w:ilvl w:val="2"/>
        <w:numId w:val="22"/>
      </w:numPr>
      <w:spacing w:before="20" w:after="20"/>
    </w:pPr>
    <w:rPr>
      <w:rFonts w:eastAsiaTheme="minorHAnsi"/>
    </w:rPr>
  </w:style>
  <w:style w:type="paragraph" w:styleId="List">
    <w:name w:val="List"/>
    <w:basedOn w:val="Normal"/>
    <w:autoRedefine/>
    <w:uiPriority w:val="99"/>
    <w:semiHidden/>
    <w:unhideWhenUsed/>
    <w:qFormat/>
    <w:rsid w:val="005B2AF3"/>
    <w:pPr>
      <w:numPr>
        <w:numId w:val="18"/>
      </w:numPr>
      <w:spacing w:before="20" w:after="20"/>
    </w:pPr>
    <w:rPr>
      <w:rFonts w:eastAsiaTheme="minorHAnsi"/>
    </w:rPr>
  </w:style>
  <w:style w:type="paragraph" w:styleId="ListNumber3">
    <w:name w:val="List Number 3"/>
    <w:basedOn w:val="Normal"/>
    <w:uiPriority w:val="4"/>
    <w:unhideWhenUsed/>
    <w:rsid w:val="005B2AF3"/>
    <w:pPr>
      <w:numPr>
        <w:ilvl w:val="2"/>
        <w:numId w:val="24"/>
      </w:numPr>
      <w:contextualSpacing/>
    </w:pPr>
    <w:rPr>
      <w:rFonts w:eastAsiaTheme="minorHAnsi"/>
    </w:rPr>
  </w:style>
  <w:style w:type="paragraph" w:styleId="ListNumber2">
    <w:name w:val="List Number 2"/>
    <w:basedOn w:val="Normal"/>
    <w:uiPriority w:val="4"/>
    <w:unhideWhenUsed/>
    <w:rsid w:val="005B2AF3"/>
    <w:pPr>
      <w:numPr>
        <w:ilvl w:val="1"/>
        <w:numId w:val="24"/>
      </w:numPr>
      <w:contextualSpacing/>
    </w:pPr>
    <w:rPr>
      <w:rFonts w:eastAsiaTheme="minorHAnsi"/>
    </w:rPr>
  </w:style>
  <w:style w:type="paragraph" w:customStyle="1" w:styleId="Kop2-genummerd">
    <w:name w:val="Kop 2 - genummerd"/>
    <w:basedOn w:val="Heading2"/>
    <w:next w:val="Normal"/>
    <w:autoRedefine/>
    <w:uiPriority w:val="2"/>
    <w:unhideWhenUsed/>
    <w:qFormat/>
    <w:rsid w:val="00E55BEF"/>
    <w:pPr>
      <w:numPr>
        <w:ilvl w:val="1"/>
        <w:numId w:val="38"/>
      </w:numPr>
    </w:pPr>
  </w:style>
  <w:style w:type="paragraph" w:customStyle="1" w:styleId="Kop1-genummerd">
    <w:name w:val="Kop 1 - genummerd"/>
    <w:basedOn w:val="Heading1"/>
    <w:next w:val="Normal"/>
    <w:autoRedefine/>
    <w:uiPriority w:val="2"/>
    <w:qFormat/>
    <w:rsid w:val="00E55BEF"/>
    <w:pPr>
      <w:numPr>
        <w:numId w:val="4"/>
      </w:numPr>
    </w:pPr>
    <w:rPr>
      <w:rFonts w:eastAsia="Times New Roman" w:cs="Times New Roman"/>
    </w:rPr>
  </w:style>
  <w:style w:type="paragraph" w:customStyle="1" w:styleId="Kop3-genummerd">
    <w:name w:val="Kop 3 - genummerd"/>
    <w:basedOn w:val="Heading3"/>
    <w:next w:val="Normal"/>
    <w:autoRedefine/>
    <w:uiPriority w:val="2"/>
    <w:unhideWhenUsed/>
    <w:qFormat/>
    <w:rsid w:val="00D66FC4"/>
    <w:pPr>
      <w:numPr>
        <w:ilvl w:val="2"/>
        <w:numId w:val="33"/>
      </w:numPr>
    </w:pPr>
  </w:style>
  <w:style w:type="paragraph" w:customStyle="1" w:styleId="Bijlage">
    <w:name w:val="Bijlage"/>
    <w:basedOn w:val="Heading1"/>
    <w:next w:val="Normal"/>
    <w:autoRedefine/>
    <w:uiPriority w:val="3"/>
    <w:qFormat/>
    <w:rsid w:val="00E55BEF"/>
    <w:pPr>
      <w:numPr>
        <w:numId w:val="31"/>
      </w:numPr>
      <w:ind w:left="714" w:hanging="357"/>
      <w:contextualSpacing/>
    </w:pPr>
    <w:rPr>
      <w:rFonts w:eastAsia="Times New Roman" w:cs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FF732F"/>
    <w:pPr>
      <w:spacing w:before="20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732F"/>
    <w:rPr>
      <w:rFonts w:ascii="Trebuchet MS" w:hAnsi="Trebuchet MS"/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AF53C7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AF53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AF53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AF53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AF53C7"/>
    <w:rPr>
      <w:rFonts w:eastAsiaTheme="majorEastAsia" w:cstheme="majorBidi"/>
      <w:color w:val="272727" w:themeColor="text1" w:themeTint="D8"/>
    </w:rPr>
  </w:style>
  <w:style w:type="character" w:styleId="IntenseEmphasis">
    <w:name w:val="Intense Emphasis"/>
    <w:basedOn w:val="DefaultParagraphFont"/>
    <w:uiPriority w:val="21"/>
    <w:rsid w:val="00AF53C7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AF53C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53C7"/>
    <w:rPr>
      <w:rFonts w:ascii="Trebuchet MS" w:hAnsi="Trebuchet MS"/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rsid w:val="00AF53C7"/>
    <w:rPr>
      <w:b/>
      <w:bCs/>
      <w:smallCaps/>
      <w:color w:val="365F91" w:themeColor="accent1" w:themeShade="BF"/>
      <w:spacing w:val="5"/>
    </w:rPr>
  </w:style>
  <w:style w:type="paragraph" w:styleId="Revision">
    <w:name w:val="Revision"/>
    <w:hidden/>
    <w:uiPriority w:val="99"/>
    <w:semiHidden/>
    <w:rsid w:val="00CC3755"/>
    <w:pPr>
      <w:spacing w:after="0" w:line="240" w:lineRule="auto"/>
    </w:pPr>
    <w:rPr>
      <w:rFonts w:ascii="Trebuchet MS" w:eastAsia="MS Mincho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81473C3445442BDF3E26564559A3B" ma:contentTypeVersion="2" ma:contentTypeDescription="Een nieuw document maken." ma:contentTypeScope="" ma:versionID="1ed84e6ff209cc0ba7e5214966a74913">
  <xsd:schema xmlns:xsd="http://www.w3.org/2001/XMLSchema" xmlns:xs="http://www.w3.org/2001/XMLSchema" xmlns:p="http://schemas.microsoft.com/office/2006/metadata/properties" xmlns:ns2="cfdd5b53-9357-4da0-b98a-83bb99318b32" targetNamespace="http://schemas.microsoft.com/office/2006/metadata/properties" ma:root="true" ma:fieldsID="cdeb3c6ebd7cc2d2934b580c44adbdee" ns2:_="">
    <xsd:import namespace="cfdd5b53-9357-4da0-b98a-83bb99318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d5b53-9357-4da0-b98a-83bb99318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1EA6E3-639A-4968-B0FF-9D4D41939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9D113B-D6E8-413A-A3E9-AD46BCB3EB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d5b53-9357-4da0-b98a-83bb99318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233EB2-64DC-4406-8894-6E9FA12C89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Q. (Qian)</dc:creator>
  <cp:keywords/>
  <dc:description/>
  <cp:lastModifiedBy>Tian, Q. (Qian)</cp:lastModifiedBy>
  <cp:revision>5</cp:revision>
  <dcterms:created xsi:type="dcterms:W3CDTF">2026-07-19T06:12:00Z</dcterms:created>
  <dcterms:modified xsi:type="dcterms:W3CDTF">2026-08-04T14:36:00Z</dcterms:modified>
</cp:coreProperties>
</file>